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F7" w:rsidRPr="00D76587" w:rsidRDefault="00E009F7" w:rsidP="00D76587">
      <w:pPr>
        <w:jc w:val="center"/>
        <w:rPr>
          <w:rFonts w:ascii="Arial" w:hAnsi="Arial" w:cs="Arial"/>
          <w:b/>
          <w:sz w:val="24"/>
          <w:szCs w:val="24"/>
        </w:rPr>
      </w:pPr>
    </w:p>
    <w:p w:rsidR="007F0E36" w:rsidRPr="00152638" w:rsidRDefault="007F0E36" w:rsidP="00D76587">
      <w:pPr>
        <w:jc w:val="center"/>
        <w:rPr>
          <w:rFonts w:ascii="Arial" w:hAnsi="Arial" w:cs="Arial"/>
          <w:sz w:val="24"/>
          <w:szCs w:val="24"/>
        </w:rPr>
      </w:pPr>
      <w:r w:rsidRPr="00152638">
        <w:rPr>
          <w:rFonts w:ascii="Arial" w:hAnsi="Arial" w:cs="Arial"/>
          <w:sz w:val="24"/>
          <w:szCs w:val="24"/>
        </w:rPr>
        <w:t>PROGRAMA GESTIÓN DE RECURSOS HUMANOS</w:t>
      </w:r>
    </w:p>
    <w:p w:rsidR="007F0E36" w:rsidRPr="00152638" w:rsidRDefault="007F0E36" w:rsidP="00D7658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52638">
        <w:rPr>
          <w:rFonts w:ascii="Arial" w:hAnsi="Arial" w:cs="Arial"/>
          <w:sz w:val="24"/>
          <w:szCs w:val="24"/>
        </w:rPr>
        <w:t>DEPARTAMENTO DE SELECCIÓN Y PROMOCIÓN – Sección Concursos</w:t>
      </w:r>
    </w:p>
    <w:p w:rsidR="0089175D" w:rsidRPr="00152638" w:rsidRDefault="0089175D" w:rsidP="00D765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5E8A" w:rsidRPr="00152638" w:rsidRDefault="000A0CD2" w:rsidP="00D7658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2638">
        <w:rPr>
          <w:rFonts w:ascii="Arial" w:hAnsi="Arial" w:cs="Arial"/>
          <w:sz w:val="24"/>
          <w:szCs w:val="24"/>
        </w:rPr>
        <w:t>Se comunica a los concursantes del Llamado para proveer los cargos Administrativos Grado 10 Presupuestados del Escalafón “C”, Jefe de Departamento de Oficinas Centrales y Secretario Escolar, información y normativa a estudiar  que se aplicará  en  la primera etapa de oposición.</w:t>
      </w:r>
    </w:p>
    <w:p w:rsidR="000A0CD2" w:rsidRPr="00152638" w:rsidRDefault="000A0CD2" w:rsidP="00D7658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:rsidR="000A0CD2" w:rsidRPr="00152638" w:rsidRDefault="000A0CD2" w:rsidP="000A0CD2">
      <w:pPr>
        <w:shd w:val="clear" w:color="auto" w:fill="FFFFFF"/>
        <w:spacing w:after="0" w:line="240" w:lineRule="auto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u w:val="single"/>
          <w:lang w:eastAsia="es-ES"/>
        </w:rPr>
        <w:t>INFORMACIÓN IMPORTANTE</w:t>
      </w:r>
      <w:r w:rsidRPr="00152638">
        <w:rPr>
          <w:rFonts w:ascii="Arial" w:hAnsi="Arial" w:cs="Arial"/>
          <w:sz w:val="24"/>
          <w:szCs w:val="24"/>
          <w:lang w:eastAsia="es-ES"/>
        </w:rPr>
        <w:t>:</w:t>
      </w:r>
    </w:p>
    <w:p w:rsidR="000A0CD2" w:rsidRPr="00152638" w:rsidRDefault="000A0CD2" w:rsidP="000A0CD2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</w:p>
    <w:p w:rsidR="000A0CD2" w:rsidRPr="00152638" w:rsidRDefault="000A0CD2" w:rsidP="000A0CD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lang w:eastAsia="es-ES"/>
        </w:rPr>
        <w:t>La prueba se aplicará  el viernes 04 de abril de 2025 a la hora 10:00 en el Instituto Superior de Comercio “Brazo Oriental”, ubicado en Regimiento 9 Nº 1983 – Montevideo.</w:t>
      </w:r>
    </w:p>
    <w:p w:rsidR="000A0CD2" w:rsidRPr="00152638" w:rsidRDefault="000A0CD2" w:rsidP="000A0CD2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</w:p>
    <w:p w:rsidR="000A0CD2" w:rsidRPr="00152638" w:rsidRDefault="000A0CD2" w:rsidP="000A0CD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lang w:eastAsia="es-ES"/>
        </w:rPr>
        <w:t xml:space="preserve">Se </w:t>
      </w:r>
      <w:r w:rsidRPr="00152638">
        <w:rPr>
          <w:rFonts w:ascii="Arial" w:hAnsi="Arial" w:cs="Arial"/>
          <w:b/>
          <w:sz w:val="24"/>
          <w:szCs w:val="24"/>
          <w:lang w:eastAsia="es-ES"/>
        </w:rPr>
        <w:t>convoca a los concursantes a la hora 09:30</w:t>
      </w:r>
      <w:r w:rsidRPr="00152638">
        <w:rPr>
          <w:rFonts w:ascii="Arial" w:hAnsi="Arial" w:cs="Arial"/>
          <w:sz w:val="24"/>
          <w:szCs w:val="24"/>
          <w:lang w:eastAsia="es-ES"/>
        </w:rPr>
        <w:t xml:space="preserve"> para su acreditación.</w:t>
      </w:r>
    </w:p>
    <w:p w:rsidR="000A0CD2" w:rsidRPr="00152638" w:rsidRDefault="000A0CD2" w:rsidP="000A0CD2">
      <w:pPr>
        <w:shd w:val="clear" w:color="auto" w:fill="FFFFFF"/>
        <w:spacing w:after="0" w:line="240" w:lineRule="auto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</w:p>
    <w:p w:rsidR="000A0CD2" w:rsidRPr="00152638" w:rsidRDefault="000A0CD2" w:rsidP="000A0CD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outlineLvl w:val="2"/>
        <w:rPr>
          <w:rFonts w:ascii="Arial" w:hAnsi="Arial" w:cs="Arial"/>
          <w:b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lang w:eastAsia="es-ES"/>
        </w:rPr>
        <w:t xml:space="preserve">Deberán concurrir </w:t>
      </w:r>
      <w:r w:rsidRPr="00152638">
        <w:rPr>
          <w:rFonts w:ascii="Arial" w:hAnsi="Arial" w:cs="Arial"/>
          <w:b/>
          <w:sz w:val="24"/>
          <w:szCs w:val="24"/>
          <w:lang w:eastAsia="es-ES"/>
        </w:rPr>
        <w:t>munidos de la cédula de identidad vigente, lapicera azul y corrector.</w:t>
      </w:r>
    </w:p>
    <w:p w:rsidR="000A0CD2" w:rsidRPr="00152638" w:rsidRDefault="000A0CD2" w:rsidP="000A0CD2">
      <w:pPr>
        <w:shd w:val="clear" w:color="auto" w:fill="FFFFFF"/>
        <w:spacing w:after="0" w:line="240" w:lineRule="auto"/>
        <w:textAlignment w:val="baseline"/>
        <w:outlineLvl w:val="2"/>
        <w:rPr>
          <w:rFonts w:ascii="Arial" w:hAnsi="Arial" w:cs="Arial"/>
          <w:b/>
          <w:sz w:val="24"/>
          <w:szCs w:val="24"/>
          <w:lang w:eastAsia="es-ES"/>
        </w:rPr>
      </w:pPr>
    </w:p>
    <w:p w:rsidR="000A0CD2" w:rsidRPr="00152638" w:rsidRDefault="000A0CD2" w:rsidP="000A0CD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lang w:eastAsia="es-ES"/>
        </w:rPr>
        <w:t>Podrán solo tener la siguiente normativa a la vista sin anotaciones:</w:t>
      </w:r>
    </w:p>
    <w:p w:rsidR="000A0CD2" w:rsidRPr="00152638" w:rsidRDefault="000A0CD2" w:rsidP="000A0CD2">
      <w:pPr>
        <w:shd w:val="clear" w:color="auto" w:fill="FFFFFF"/>
        <w:spacing w:after="0" w:line="240" w:lineRule="auto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</w:p>
    <w:p w:rsidR="000A0CD2" w:rsidRPr="00152638" w:rsidRDefault="000A0CD2" w:rsidP="000A0CD2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lang w:eastAsia="es-ES"/>
        </w:rPr>
        <w:t xml:space="preserve">a. Ley General de Educación y sus modificativas dadas por la LUC </w:t>
      </w:r>
    </w:p>
    <w:p w:rsidR="000A0CD2" w:rsidRPr="00152638" w:rsidRDefault="000A0CD2" w:rsidP="000A0CD2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lang w:eastAsia="es-ES"/>
        </w:rPr>
        <w:t xml:space="preserve">b. Ordenanza Nº 10 y sus modificaciones  </w:t>
      </w:r>
    </w:p>
    <w:p w:rsidR="000A0CD2" w:rsidRPr="00152638" w:rsidRDefault="000A0CD2" w:rsidP="000A0CD2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lang w:eastAsia="es-ES"/>
        </w:rPr>
        <w:t xml:space="preserve">c. Estatuto del Funcionario No Docente </w:t>
      </w:r>
    </w:p>
    <w:p w:rsidR="000A0CD2" w:rsidRPr="00152638" w:rsidRDefault="000A0CD2" w:rsidP="000A0CD2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lang w:eastAsia="es-ES"/>
        </w:rPr>
        <w:t xml:space="preserve">d. Estatuto del Funcionario Docente </w:t>
      </w:r>
    </w:p>
    <w:p w:rsidR="000A0CD2" w:rsidRPr="00152638" w:rsidRDefault="000A0CD2" w:rsidP="000A0CD2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lang w:eastAsia="es-ES"/>
        </w:rPr>
        <w:t xml:space="preserve">e. Reglamento General de Concursos Docente </w:t>
      </w:r>
    </w:p>
    <w:p w:rsidR="000A0CD2" w:rsidRPr="00152638" w:rsidRDefault="000A0CD2" w:rsidP="000A0CD2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lang w:eastAsia="es-ES"/>
        </w:rPr>
        <w:t xml:space="preserve">f. Reglamento General de Concursos No Docente </w:t>
      </w:r>
    </w:p>
    <w:p w:rsidR="000A0CD2" w:rsidRPr="00152638" w:rsidRDefault="000A0CD2" w:rsidP="000A0CD2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lang w:eastAsia="es-ES"/>
        </w:rPr>
        <w:t xml:space="preserve">g. TOCAF </w:t>
      </w:r>
    </w:p>
    <w:p w:rsidR="000A0CD2" w:rsidRPr="00152638" w:rsidRDefault="000A0CD2" w:rsidP="000A0CD2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lang w:eastAsia="es-ES"/>
        </w:rPr>
        <w:t>h. REPA</w:t>
      </w:r>
    </w:p>
    <w:p w:rsidR="000A0CD2" w:rsidRPr="00152638" w:rsidRDefault="000A0CD2" w:rsidP="000A0CD2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  <w:r w:rsidRPr="00152638">
        <w:rPr>
          <w:rFonts w:ascii="Arial" w:hAnsi="Arial" w:cs="Arial"/>
          <w:sz w:val="24"/>
          <w:szCs w:val="24"/>
          <w:lang w:eastAsia="es-ES"/>
        </w:rPr>
        <w:t>i. REEMS</w:t>
      </w:r>
    </w:p>
    <w:p w:rsidR="000A0CD2" w:rsidRPr="00152638" w:rsidRDefault="000A0CD2" w:rsidP="000A0CD2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Arial" w:hAnsi="Arial" w:cs="Arial"/>
          <w:sz w:val="24"/>
          <w:szCs w:val="24"/>
          <w:lang w:eastAsia="es-ES"/>
        </w:rPr>
      </w:pPr>
    </w:p>
    <w:p w:rsidR="000A0CD2" w:rsidRPr="00152638" w:rsidRDefault="000A0CD2" w:rsidP="000A0CD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15263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No se permitirá consultar,  ni utilizar  los manuales </w:t>
      </w:r>
      <w:r w:rsidRPr="00152638">
        <w:rPr>
          <w:rFonts w:ascii="Arial" w:eastAsia="Times New Roman" w:hAnsi="Arial" w:cs="Arial"/>
          <w:bCs/>
          <w:sz w:val="24"/>
          <w:szCs w:val="24"/>
          <w:lang w:val="es-ES" w:eastAsia="es-ES"/>
        </w:rPr>
        <w:t>proporcionados por este tribunal.</w:t>
      </w:r>
    </w:p>
    <w:p w:rsidR="000A0CD2" w:rsidRPr="00152638" w:rsidRDefault="000A0CD2" w:rsidP="000A0CD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15263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Se solicita escribir en forma legible.</w:t>
      </w:r>
    </w:p>
    <w:p w:rsidR="000A0CD2" w:rsidRPr="00152638" w:rsidRDefault="000A0CD2" w:rsidP="000A0CD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15263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Recordar apagar los celulares </w:t>
      </w:r>
      <w:r w:rsidRPr="00152638">
        <w:rPr>
          <w:rFonts w:ascii="Arial" w:eastAsia="Times New Roman" w:hAnsi="Arial" w:cs="Arial"/>
          <w:bCs/>
          <w:sz w:val="24"/>
          <w:szCs w:val="24"/>
          <w:lang w:val="es-ES" w:eastAsia="es-ES"/>
        </w:rPr>
        <w:t>al momento de iniciar la prueba.</w:t>
      </w:r>
    </w:p>
    <w:p w:rsidR="000A0CD2" w:rsidRPr="00152638" w:rsidRDefault="000A0CD2" w:rsidP="000A0CD2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B9494B" w:rsidRPr="00152638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</w:pPr>
      <w:r w:rsidRPr="001526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  <w:t>DE NO RESPETARSE ALGUNA DE ÉSTAS ACLARACIONES, LA PRUEBA SERÁ ANULADA.</w:t>
      </w:r>
    </w:p>
    <w:p w:rsidR="00B9494B" w:rsidRPr="00152638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9494B" w:rsidRPr="00152638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52638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val="es-ES" w:eastAsia="es-ES"/>
        </w:rPr>
        <w:t>TEMARIO PARA ESTUDIAR</w:t>
      </w:r>
      <w:r w:rsidRPr="00152638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</w:p>
    <w:p w:rsidR="00B9494B" w:rsidRPr="00152638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9494B" w:rsidRPr="00152638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</w:pPr>
      <w:r w:rsidRPr="001526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  <w:t>NORMATIVA</w:t>
      </w:r>
      <w:r w:rsidR="000A0CD2" w:rsidRPr="001526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  <w:t xml:space="preserve"> A LA VISTA </w:t>
      </w:r>
    </w:p>
    <w:p w:rsidR="00B9494B" w:rsidRPr="00152638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9494B" w:rsidRPr="00152638" w:rsidRDefault="00DB720D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hyperlink r:id="rId8" w:history="1">
        <w:r w:rsidR="00B9494B"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Ley de Educación</w:t>
        </w:r>
      </w:hyperlink>
      <w:r w:rsidR="00B9494B"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y sus modificativas dadas por la </w:t>
      </w:r>
      <w:hyperlink r:id="rId9" w:history="1">
        <w:r w:rsidR="00B9494B"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LUC </w:t>
        </w:r>
      </w:hyperlink>
      <w:r w:rsidR="00B9494B" w:rsidRPr="00152638">
        <w:rPr>
          <w:rFonts w:ascii="Arial" w:eastAsia="Times New Roman" w:hAnsi="Arial" w:cs="Arial"/>
          <w:sz w:val="24"/>
          <w:szCs w:val="24"/>
          <w:lang w:val="es-ES" w:eastAsia="es-ES"/>
        </w:rPr>
        <w:t>(Toda)</w:t>
      </w:r>
    </w:p>
    <w:p w:rsidR="00B9494B" w:rsidRPr="00152638" w:rsidRDefault="00DB720D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hyperlink r:id="rId10" w:history="1">
        <w:r w:rsidR="00B9494B"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Ordenanza 10</w:t>
        </w:r>
      </w:hyperlink>
      <w:r w:rsidR="00B9494B"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y sus </w:t>
      </w:r>
      <w:hyperlink r:id="rId11" w:history="1">
        <w:r w:rsidR="00B9494B"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modificaciones</w:t>
        </w:r>
      </w:hyperlink>
      <w:r w:rsidR="00B9494B"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(Toda)</w:t>
      </w:r>
    </w:p>
    <w:p w:rsidR="00B9494B" w:rsidRPr="00152638" w:rsidRDefault="00DB720D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hyperlink r:id="rId12" w:history="1">
        <w:r w:rsidR="00B9494B"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Estatuto del Funcionario No Docente</w:t>
        </w:r>
      </w:hyperlink>
      <w:r w:rsidR="00B9494B"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(Todo)</w:t>
      </w:r>
    </w:p>
    <w:p w:rsidR="00B9494B" w:rsidRPr="00152638" w:rsidRDefault="00DB720D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hyperlink r:id="rId13" w:history="1">
        <w:r w:rsidR="00B9494B"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Estatuto del Funcionario Docente</w:t>
        </w:r>
      </w:hyperlink>
      <w:r w:rsidR="00B9494B"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(Todo)</w:t>
      </w:r>
    </w:p>
    <w:p w:rsidR="000A0CD2" w:rsidRPr="00152638" w:rsidRDefault="00DB720D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hyperlink r:id="rId14" w:history="1">
        <w:r w:rsidR="000A0CD2" w:rsidRPr="00152638">
          <w:rPr>
            <w:rStyle w:val="Hipervnculo"/>
            <w:rFonts w:ascii="Arial" w:eastAsia="Times New Roman" w:hAnsi="Arial" w:cs="Arial"/>
            <w:color w:val="auto"/>
            <w:sz w:val="24"/>
            <w:szCs w:val="24"/>
            <w:lang w:val="es-ES" w:eastAsia="es-ES"/>
          </w:rPr>
          <w:t>Reglamento General de Concursos Docente (Todo)</w:t>
        </w:r>
      </w:hyperlink>
    </w:p>
    <w:p w:rsidR="00B9494B" w:rsidRPr="00152638" w:rsidRDefault="00DB720D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hyperlink r:id="rId15" w:history="1">
        <w:r w:rsidR="00B9494B"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Reglamento General de Concursos No Docentes</w:t>
        </w:r>
      </w:hyperlink>
      <w:r w:rsidR="00B9494B"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(Todo)</w:t>
      </w:r>
    </w:p>
    <w:p w:rsidR="00152638" w:rsidRPr="00152638" w:rsidRDefault="00DB720D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hyperlink r:id="rId16" w:history="1">
        <w:r w:rsidR="00B9494B"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TOCAF</w:t>
        </w:r>
      </w:hyperlink>
      <w:r w:rsidR="00B9494B"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(Art. 1 al 33 inclusive, 83, 84, 89, 90, 132 y 137)</w:t>
      </w:r>
    </w:p>
    <w:p w:rsidR="00152638" w:rsidRPr="00152638" w:rsidRDefault="00DB720D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hyperlink r:id="rId17" w:history="1">
        <w:r w:rsidR="00B9494B" w:rsidRPr="00152638">
          <w:rPr>
            <w:rStyle w:val="Hipervnculo"/>
            <w:rFonts w:ascii="Arial" w:eastAsia="Times New Roman" w:hAnsi="Arial" w:cs="Arial"/>
            <w:color w:val="auto"/>
            <w:sz w:val="24"/>
            <w:szCs w:val="24"/>
            <w:lang w:val="es-ES" w:eastAsia="es-ES"/>
          </w:rPr>
          <w:t>REPA</w:t>
        </w:r>
      </w:hyperlink>
      <w:r w:rsidR="00B9494B" w:rsidRPr="0015263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152638" w:rsidRPr="00152638" w:rsidRDefault="00DB720D" w:rsidP="00B9494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hyperlink r:id="rId18" w:history="1">
        <w:r w:rsidR="00B9494B" w:rsidRPr="00152638">
          <w:rPr>
            <w:rStyle w:val="Hipervnculo"/>
            <w:rFonts w:ascii="Arial" w:eastAsia="Times New Roman" w:hAnsi="Arial" w:cs="Arial"/>
            <w:color w:val="auto"/>
            <w:sz w:val="24"/>
            <w:szCs w:val="24"/>
            <w:lang w:val="es-ES" w:eastAsia="es-ES"/>
          </w:rPr>
          <w:t>REEMS</w:t>
        </w:r>
      </w:hyperlink>
      <w:r w:rsidR="00B9494B" w:rsidRPr="0015263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152638" w:rsidRPr="00152638" w:rsidRDefault="00152638" w:rsidP="00B9494B">
      <w:pPr>
        <w:shd w:val="clear" w:color="auto" w:fill="FFFFFF"/>
        <w:spacing w:after="0" w:line="240" w:lineRule="auto"/>
        <w:textAlignment w:val="baseline"/>
      </w:pPr>
    </w:p>
    <w:p w:rsidR="00B9494B" w:rsidRPr="00152638" w:rsidRDefault="00B9494B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</w:pPr>
      <w:r w:rsidRPr="001526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  <w:t>MANUALES</w:t>
      </w:r>
      <w:r w:rsidR="00152638" w:rsidRPr="001526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  <w:t xml:space="preserve"> </w:t>
      </w:r>
      <w:r w:rsidR="00152638" w:rsidRPr="001526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ES" w:eastAsia="es-ES"/>
        </w:rPr>
        <w:tab/>
        <w:t>QUE NO PODRÁN CONSULTARSE</w:t>
      </w:r>
    </w:p>
    <w:p w:rsidR="00152638" w:rsidRPr="00152638" w:rsidRDefault="00152638" w:rsidP="00B949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9494B" w:rsidRPr="00152638" w:rsidRDefault="00DB720D" w:rsidP="00B9494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hyperlink r:id="rId19" w:history="1">
        <w:r w:rsidR="00B9494B"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Manejo Contable de la Institución</w:t>
        </w:r>
      </w:hyperlink>
      <w:r w:rsidR="00B9494B"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y </w:t>
      </w:r>
      <w:hyperlink r:id="rId20" w:history="1">
        <w:r w:rsidR="00B9494B"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Manejo Contable de la Institución topes para licitaciones 2023</w:t>
        </w:r>
      </w:hyperlink>
    </w:p>
    <w:p w:rsidR="00B9494B" w:rsidRPr="00152638" w:rsidRDefault="00DB720D" w:rsidP="00B9494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hyperlink r:id="rId21" w:history="1">
        <w:r w:rsidR="00B9494B"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Administración de Personas – Tomas de decisiones – Resoluciones de conflictos</w:t>
        </w:r>
      </w:hyperlink>
    </w:p>
    <w:p w:rsidR="00B9494B" w:rsidRPr="00152638" w:rsidRDefault="00B9494B" w:rsidP="00B9494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52638">
        <w:rPr>
          <w:rFonts w:ascii="Arial" w:eastAsia="Times New Roman" w:hAnsi="Arial" w:cs="Arial"/>
          <w:sz w:val="24"/>
          <w:szCs w:val="24"/>
          <w:lang w:val="es-ES" w:eastAsia="es-ES"/>
        </w:rPr>
        <w:t>Planificación anual y tiempo como factor de la organización escolar: Confección de horarios y Calendario de exámenes (</w:t>
      </w:r>
      <w:hyperlink r:id="rId22" w:history="1">
        <w:r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1</w:t>
        </w:r>
      </w:hyperlink>
      <w:r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– </w:t>
      </w:r>
      <w:hyperlink r:id="rId23" w:history="1">
        <w:r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2</w:t>
        </w:r>
      </w:hyperlink>
      <w:r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– </w:t>
      </w:r>
      <w:hyperlink r:id="rId24" w:history="1">
        <w:r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3</w:t>
        </w:r>
      </w:hyperlink>
      <w:r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– </w:t>
      </w:r>
      <w:hyperlink r:id="rId25" w:history="1">
        <w:r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4</w:t>
        </w:r>
      </w:hyperlink>
      <w:r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–  </w:t>
      </w:r>
      <w:hyperlink r:id="rId26" w:history="1">
        <w:r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5</w:t>
        </w:r>
      </w:hyperlink>
      <w:r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– </w:t>
      </w:r>
      <w:hyperlink r:id="rId27" w:history="1">
        <w:r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6</w:t>
        </w:r>
      </w:hyperlink>
      <w:r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– </w:t>
      </w:r>
      <w:hyperlink r:id="rId28" w:history="1">
        <w:r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7</w:t>
        </w:r>
      </w:hyperlink>
      <w:r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– </w:t>
      </w:r>
      <w:hyperlink r:id="rId29" w:history="1">
        <w:r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8</w:t>
        </w:r>
      </w:hyperlink>
      <w:r w:rsidRPr="00152638">
        <w:rPr>
          <w:rFonts w:ascii="Arial" w:eastAsia="Times New Roman" w:hAnsi="Arial" w:cs="Arial"/>
          <w:sz w:val="24"/>
          <w:szCs w:val="24"/>
          <w:lang w:val="es-ES" w:eastAsia="es-ES"/>
        </w:rPr>
        <w:t> – </w:t>
      </w:r>
      <w:hyperlink r:id="rId30" w:history="1">
        <w:r w:rsidRPr="00152638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val="es-ES" w:eastAsia="es-ES"/>
          </w:rPr>
          <w:t>Planificación anual y tiempo 9</w:t>
        </w:r>
      </w:hyperlink>
    </w:p>
    <w:p w:rsidR="00B9494B" w:rsidRPr="00152638" w:rsidRDefault="00B9494B" w:rsidP="003C1961">
      <w:pPr>
        <w:spacing w:line="360" w:lineRule="auto"/>
        <w:rPr>
          <w:rFonts w:ascii="Arial" w:hAnsi="Arial" w:cs="Arial"/>
          <w:sz w:val="24"/>
          <w:szCs w:val="24"/>
          <w:lang w:eastAsia="es-ES"/>
        </w:rPr>
      </w:pPr>
    </w:p>
    <w:p w:rsidR="00434D95" w:rsidRPr="00152638" w:rsidRDefault="00434D95" w:rsidP="00D76587">
      <w:pPr>
        <w:spacing w:line="360" w:lineRule="auto"/>
        <w:rPr>
          <w:rFonts w:ascii="Arial" w:hAnsi="Arial" w:cs="Arial"/>
          <w:b/>
          <w:sz w:val="24"/>
          <w:szCs w:val="24"/>
          <w:lang w:eastAsia="es-ES"/>
        </w:rPr>
      </w:pPr>
    </w:p>
    <w:p w:rsidR="005A5332" w:rsidRPr="00152638" w:rsidRDefault="005A5332" w:rsidP="00D76587">
      <w:pPr>
        <w:spacing w:line="360" w:lineRule="auto"/>
        <w:rPr>
          <w:rFonts w:ascii="Arial" w:hAnsi="Arial" w:cs="Arial"/>
          <w:b/>
          <w:sz w:val="24"/>
          <w:szCs w:val="24"/>
          <w:lang w:eastAsia="es-ES"/>
        </w:rPr>
      </w:pPr>
      <w:r w:rsidRPr="00152638">
        <w:rPr>
          <w:rFonts w:ascii="Arial" w:hAnsi="Arial" w:cs="Arial"/>
          <w:b/>
          <w:sz w:val="24"/>
          <w:szCs w:val="24"/>
          <w:lang w:eastAsia="es-ES"/>
        </w:rPr>
        <w:t xml:space="preserve">Se adjunta lista de </w:t>
      </w:r>
      <w:r w:rsidR="007B3DBD" w:rsidRPr="00152638">
        <w:rPr>
          <w:rFonts w:ascii="Arial" w:hAnsi="Arial" w:cs="Arial"/>
          <w:b/>
          <w:sz w:val="24"/>
          <w:szCs w:val="24"/>
          <w:lang w:eastAsia="es-ES"/>
        </w:rPr>
        <w:t>inh</w:t>
      </w:r>
      <w:r w:rsidRPr="00152638">
        <w:rPr>
          <w:rFonts w:ascii="Arial" w:hAnsi="Arial" w:cs="Arial"/>
          <w:b/>
          <w:sz w:val="24"/>
          <w:szCs w:val="24"/>
          <w:lang w:eastAsia="es-ES"/>
        </w:rPr>
        <w:t>abilitados:</w:t>
      </w:r>
    </w:p>
    <w:p w:rsidR="00BA5B36" w:rsidRPr="00152638" w:rsidRDefault="00BA5B36" w:rsidP="00BA5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52638">
        <w:rPr>
          <w:rFonts w:ascii="Arial" w:eastAsia="Times New Roman" w:hAnsi="Arial" w:cs="Arial"/>
          <w:sz w:val="24"/>
          <w:szCs w:val="24"/>
          <w:lang w:val="es-ES" w:eastAsia="es-ES"/>
        </w:rPr>
        <w:t>49614933</w:t>
      </w:r>
    </w:p>
    <w:p w:rsidR="00BA5B36" w:rsidRPr="00152638" w:rsidRDefault="00BA5B36" w:rsidP="006F4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F49BB" w:rsidRPr="00152638" w:rsidRDefault="006F49BB" w:rsidP="006F4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52638">
        <w:rPr>
          <w:rFonts w:ascii="Arial" w:eastAsia="Times New Roman" w:hAnsi="Arial" w:cs="Arial"/>
          <w:sz w:val="24"/>
          <w:szCs w:val="24"/>
          <w:lang w:val="es-ES" w:eastAsia="es-ES"/>
        </w:rPr>
        <w:t>46864428</w:t>
      </w:r>
    </w:p>
    <w:p w:rsidR="00BA5B36" w:rsidRPr="00152638" w:rsidRDefault="00BA5B36" w:rsidP="006F4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063" w:rsidRPr="00152638" w:rsidRDefault="00EC0063" w:rsidP="00EC00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52638">
        <w:rPr>
          <w:rFonts w:ascii="Arial" w:eastAsia="Times New Roman" w:hAnsi="Arial" w:cs="Arial"/>
          <w:sz w:val="24"/>
          <w:szCs w:val="24"/>
          <w:lang w:val="es-ES" w:eastAsia="es-ES"/>
        </w:rPr>
        <w:t>42297940</w:t>
      </w:r>
    </w:p>
    <w:p w:rsidR="00BC3173" w:rsidRPr="00152638" w:rsidRDefault="00BC317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C3173" w:rsidRPr="00152638" w:rsidSect="00656C27">
      <w:headerReference w:type="defaul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0D" w:rsidRDefault="00DB720D" w:rsidP="00532E4F">
      <w:pPr>
        <w:spacing w:after="0" w:line="240" w:lineRule="auto"/>
      </w:pPr>
      <w:r>
        <w:separator/>
      </w:r>
    </w:p>
  </w:endnote>
  <w:endnote w:type="continuationSeparator" w:id="0">
    <w:p w:rsidR="00DB720D" w:rsidRDefault="00DB720D" w:rsidP="0053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0D" w:rsidRDefault="00DB720D" w:rsidP="00532E4F">
      <w:pPr>
        <w:spacing w:after="0" w:line="240" w:lineRule="auto"/>
      </w:pPr>
      <w:r>
        <w:separator/>
      </w:r>
    </w:p>
  </w:footnote>
  <w:footnote w:type="continuationSeparator" w:id="0">
    <w:p w:rsidR="00DB720D" w:rsidRDefault="00DB720D" w:rsidP="0053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F7" w:rsidRDefault="00E009F7">
    <w:pPr>
      <w:pStyle w:val="Encabezado"/>
    </w:pPr>
    <w:r w:rsidRPr="00E009F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75F5C26" wp14:editId="705ED2C7">
          <wp:simplePos x="0" y="0"/>
          <wp:positionH relativeFrom="column">
            <wp:posOffset>348615</wp:posOffset>
          </wp:positionH>
          <wp:positionV relativeFrom="paragraph">
            <wp:posOffset>-268605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DA0"/>
    <w:multiLevelType w:val="multilevel"/>
    <w:tmpl w:val="7DCEB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03370"/>
    <w:multiLevelType w:val="multilevel"/>
    <w:tmpl w:val="2D36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C7B09"/>
    <w:multiLevelType w:val="hybridMultilevel"/>
    <w:tmpl w:val="CBAC01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F71FAA"/>
    <w:multiLevelType w:val="hybridMultilevel"/>
    <w:tmpl w:val="7BEA1B6A"/>
    <w:lvl w:ilvl="0" w:tplc="1564F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37B5E"/>
    <w:multiLevelType w:val="hybridMultilevel"/>
    <w:tmpl w:val="4D7863C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1375F8"/>
    <w:multiLevelType w:val="multilevel"/>
    <w:tmpl w:val="3164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035C1"/>
    <w:multiLevelType w:val="multilevel"/>
    <w:tmpl w:val="FBE8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01529"/>
    <w:multiLevelType w:val="multilevel"/>
    <w:tmpl w:val="0032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D3CD3"/>
    <w:multiLevelType w:val="multilevel"/>
    <w:tmpl w:val="4DBA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DA"/>
    <w:rsid w:val="00003A47"/>
    <w:rsid w:val="00012997"/>
    <w:rsid w:val="00026F5D"/>
    <w:rsid w:val="00066EA9"/>
    <w:rsid w:val="000A0CD2"/>
    <w:rsid w:val="000B6CBB"/>
    <w:rsid w:val="000C0F81"/>
    <w:rsid w:val="000E1EF9"/>
    <w:rsid w:val="000F1398"/>
    <w:rsid w:val="000F5FD2"/>
    <w:rsid w:val="00134725"/>
    <w:rsid w:val="00137FA9"/>
    <w:rsid w:val="00152638"/>
    <w:rsid w:val="001A62D7"/>
    <w:rsid w:val="001A6A8B"/>
    <w:rsid w:val="001B5D00"/>
    <w:rsid w:val="001D2376"/>
    <w:rsid w:val="0020269E"/>
    <w:rsid w:val="002570B4"/>
    <w:rsid w:val="002854CA"/>
    <w:rsid w:val="0037559E"/>
    <w:rsid w:val="003B0536"/>
    <w:rsid w:val="003C1961"/>
    <w:rsid w:val="003D5FD6"/>
    <w:rsid w:val="003E00DC"/>
    <w:rsid w:val="00404A61"/>
    <w:rsid w:val="004204F2"/>
    <w:rsid w:val="0043109F"/>
    <w:rsid w:val="00434D95"/>
    <w:rsid w:val="00460400"/>
    <w:rsid w:val="00483CEC"/>
    <w:rsid w:val="0048688C"/>
    <w:rsid w:val="004A0960"/>
    <w:rsid w:val="00530B7C"/>
    <w:rsid w:val="00532E4F"/>
    <w:rsid w:val="00545327"/>
    <w:rsid w:val="005A5332"/>
    <w:rsid w:val="00607678"/>
    <w:rsid w:val="00656C27"/>
    <w:rsid w:val="00662A82"/>
    <w:rsid w:val="00685E1E"/>
    <w:rsid w:val="006A4244"/>
    <w:rsid w:val="006C5399"/>
    <w:rsid w:val="006D664F"/>
    <w:rsid w:val="006F49BB"/>
    <w:rsid w:val="00766A2D"/>
    <w:rsid w:val="0078429A"/>
    <w:rsid w:val="00796C3F"/>
    <w:rsid w:val="007A4BEF"/>
    <w:rsid w:val="007B3DBD"/>
    <w:rsid w:val="007B64DC"/>
    <w:rsid w:val="007F0E36"/>
    <w:rsid w:val="007F7CE1"/>
    <w:rsid w:val="00874C71"/>
    <w:rsid w:val="0089175D"/>
    <w:rsid w:val="008A4D2C"/>
    <w:rsid w:val="008C329A"/>
    <w:rsid w:val="008C3AFC"/>
    <w:rsid w:val="009862EB"/>
    <w:rsid w:val="009A599E"/>
    <w:rsid w:val="00A17D96"/>
    <w:rsid w:val="00AB233B"/>
    <w:rsid w:val="00AC5C4D"/>
    <w:rsid w:val="00AF19DA"/>
    <w:rsid w:val="00B34AC8"/>
    <w:rsid w:val="00B4198F"/>
    <w:rsid w:val="00B9494B"/>
    <w:rsid w:val="00BA5B36"/>
    <w:rsid w:val="00BC3173"/>
    <w:rsid w:val="00C76C79"/>
    <w:rsid w:val="00CA1D6F"/>
    <w:rsid w:val="00CA22A2"/>
    <w:rsid w:val="00CA715E"/>
    <w:rsid w:val="00D21B00"/>
    <w:rsid w:val="00D76587"/>
    <w:rsid w:val="00D92611"/>
    <w:rsid w:val="00DB720D"/>
    <w:rsid w:val="00DF6075"/>
    <w:rsid w:val="00E009F7"/>
    <w:rsid w:val="00E11304"/>
    <w:rsid w:val="00E33F8E"/>
    <w:rsid w:val="00E653C6"/>
    <w:rsid w:val="00EB2C14"/>
    <w:rsid w:val="00EB5244"/>
    <w:rsid w:val="00EC0063"/>
    <w:rsid w:val="00EE5E8A"/>
    <w:rsid w:val="00EE7529"/>
    <w:rsid w:val="00F138C8"/>
    <w:rsid w:val="00F3430E"/>
    <w:rsid w:val="00F6079F"/>
    <w:rsid w:val="00F61D87"/>
    <w:rsid w:val="00F76713"/>
    <w:rsid w:val="00FB4792"/>
    <w:rsid w:val="00FF3B24"/>
    <w:rsid w:val="00FF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A6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E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E4F"/>
  </w:style>
  <w:style w:type="paragraph" w:styleId="Piedepgina">
    <w:name w:val="footer"/>
    <w:basedOn w:val="Normal"/>
    <w:link w:val="Piedepgina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4F"/>
  </w:style>
  <w:style w:type="character" w:styleId="Hipervnculo">
    <w:name w:val="Hyperlink"/>
    <w:basedOn w:val="Fuentedeprrafopredeter"/>
    <w:uiPriority w:val="99"/>
    <w:unhideWhenUsed/>
    <w:rsid w:val="003B05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object">
    <w:name w:val="object"/>
    <w:basedOn w:val="Fuentedeprrafopredeter"/>
    <w:rsid w:val="00FF3B24"/>
  </w:style>
  <w:style w:type="character" w:customStyle="1" w:styleId="Ttulo3Car">
    <w:name w:val="Título 3 Car"/>
    <w:basedOn w:val="Fuentedeprrafopredeter"/>
    <w:link w:val="Ttulo3"/>
    <w:uiPriority w:val="9"/>
    <w:rsid w:val="001A6A8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A0C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A6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E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E4F"/>
  </w:style>
  <w:style w:type="paragraph" w:styleId="Piedepgina">
    <w:name w:val="footer"/>
    <w:basedOn w:val="Normal"/>
    <w:link w:val="PiedepginaCar"/>
    <w:uiPriority w:val="99"/>
    <w:unhideWhenUsed/>
    <w:rsid w:val="0053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4F"/>
  </w:style>
  <w:style w:type="character" w:styleId="Hipervnculo">
    <w:name w:val="Hyperlink"/>
    <w:basedOn w:val="Fuentedeprrafopredeter"/>
    <w:uiPriority w:val="99"/>
    <w:unhideWhenUsed/>
    <w:rsid w:val="003B05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object">
    <w:name w:val="object"/>
    <w:basedOn w:val="Fuentedeprrafopredeter"/>
    <w:rsid w:val="00FF3B24"/>
  </w:style>
  <w:style w:type="character" w:customStyle="1" w:styleId="Ttulo3Car">
    <w:name w:val="Título 3 Car"/>
    <w:basedOn w:val="Fuentedeprrafopredeter"/>
    <w:link w:val="Ttulo3"/>
    <w:uiPriority w:val="9"/>
    <w:rsid w:val="001A6A8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A0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rhh.utu.edu.uy/wp-content/uploads/2023/03/Estatuto-del-Funcionario-Docente.pdf" TargetMode="External"/><Relationship Id="rId18" Type="http://schemas.openxmlformats.org/officeDocument/2006/relationships/hyperlink" Target="https://transformacioneducativa.anep.edu.uy/sites/default/files/images/componentes/Curricular/documentos/REEMS_1ero.pdf" TargetMode="External"/><Relationship Id="rId26" Type="http://schemas.openxmlformats.org/officeDocument/2006/relationships/hyperlink" Target="https://rrhh.utu.edu.uy/wp-content/uploads/2023/03/Planificacion-anual-y-tiempo-5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rhh.utu.edu.uy/wp-content/uploads/2023/03/Administracion-de-Personas-Tomas-de-decisiones-Resoluciones-de-conflicto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rhh.utu.edu.uy/wp-content/uploads/2023/03/Estatuto-del-Funcionario-No-Docente.pdf" TargetMode="External"/><Relationship Id="rId17" Type="http://schemas.openxmlformats.org/officeDocument/2006/relationships/hyperlink" Target="https://planeamientoeducativo.utu.edu.uy/sites/planeamientoeducativo.utu.edu.uy/files/2023-11/REPA_PRELIMINAR.pdf" TargetMode="External"/><Relationship Id="rId25" Type="http://schemas.openxmlformats.org/officeDocument/2006/relationships/hyperlink" Target="https://rrhh.utu.edu.uy/wp-content/uploads/2023/03/Planificacion-anual-y-tiempo-4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rhh.utu.edu.uy/wp-content/uploads/2023/03/TOCAF.pdf" TargetMode="External"/><Relationship Id="rId20" Type="http://schemas.openxmlformats.org/officeDocument/2006/relationships/hyperlink" Target="https://rrhh.utu.edu.uy/wp-content/uploads/2023/03/Manejo-Contable-de-la-Institucion-topes-para-licitaciones-2023.pdf" TargetMode="External"/><Relationship Id="rId29" Type="http://schemas.openxmlformats.org/officeDocument/2006/relationships/hyperlink" Target="https://rrhh.utu.edu.uy/wp-content/uploads/2023/03/Planificacion-anual-y-tiempo-8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rhh.utu.edu.uy/wp-content/uploads/2023/03/Ordenanza-10-modificaciones.pdf" TargetMode="External"/><Relationship Id="rId24" Type="http://schemas.openxmlformats.org/officeDocument/2006/relationships/hyperlink" Target="https://rrhh.utu.edu.uy/wp-content/uploads/2023/03/Planificacion-anual-y-tiempo-3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tu.edu.uy/sites/www.utu.edu.uy/files/normativa/archivos/reglamento%20general%20de%20concursos%20no%20docentes%20version%202_0.pdf" TargetMode="External"/><Relationship Id="rId23" Type="http://schemas.openxmlformats.org/officeDocument/2006/relationships/hyperlink" Target="https://rrhh.utu.edu.uy/wp-content/uploads/2023/03/Planificacion-anual-y-tiempo-2.pdf" TargetMode="External"/><Relationship Id="rId28" Type="http://schemas.openxmlformats.org/officeDocument/2006/relationships/hyperlink" Target="https://rrhh.utu.edu.uy/wp-content/uploads/2023/03/Planificacion-anual-y-tiempo-7.pdf" TargetMode="External"/><Relationship Id="rId10" Type="http://schemas.openxmlformats.org/officeDocument/2006/relationships/hyperlink" Target="https://rrhh.utu.edu.uy/wp-content/uploads/2023/03/Ordenanza-10.pdf" TargetMode="External"/><Relationship Id="rId19" Type="http://schemas.openxmlformats.org/officeDocument/2006/relationships/hyperlink" Target="https://rrhh.utu.edu.uy/wp-content/uploads/2023/03/Manejo-Contable-de-la-Institucion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rhh.utu.edu.uy/wp-content/uploads/2023/03/Ley-de-Educacion-modificaciones-de-la-LUC.pdf" TargetMode="External"/><Relationship Id="rId14" Type="http://schemas.openxmlformats.org/officeDocument/2006/relationships/hyperlink" Target="https://www.utu.edu.uy/sites/www.utu.edu.uy/files/normativa/archivos/estatuto-del-funcionario-docente_actualizado-a-2015-08_0.pdf" TargetMode="External"/><Relationship Id="rId22" Type="http://schemas.openxmlformats.org/officeDocument/2006/relationships/hyperlink" Target="https://rrhh.utu.edu.uy/wp-content/uploads/2023/03/Planificacion-anual-y-tiempo-1.pdf" TargetMode="External"/><Relationship Id="rId27" Type="http://schemas.openxmlformats.org/officeDocument/2006/relationships/hyperlink" Target="https://rrhh.utu.edu.uy/wp-content/uploads/2023/03/Planificacion-anual-y-tiempo-6.pdf" TargetMode="External"/><Relationship Id="rId30" Type="http://schemas.openxmlformats.org/officeDocument/2006/relationships/hyperlink" Target="https://rrhh.utu.edu.uy/wp-content/uploads/2023/03/Planificacion-anual-y-tiempo-9.pdf" TargetMode="External"/><Relationship Id="rId8" Type="http://schemas.openxmlformats.org/officeDocument/2006/relationships/hyperlink" Target="https://rrhh.utu.edu.uy/wp-content/uploads/2023/03/Ley-de-Educa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GABRIELA FERNANDEZ SALINAS</dc:creator>
  <cp:lastModifiedBy>ANGELA AGUSTINA ARANDA RIVERO</cp:lastModifiedBy>
  <cp:revision>4</cp:revision>
  <dcterms:created xsi:type="dcterms:W3CDTF">2025-03-12T17:04:00Z</dcterms:created>
  <dcterms:modified xsi:type="dcterms:W3CDTF">2025-03-12T20:34:00Z</dcterms:modified>
</cp:coreProperties>
</file>